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83" w:rsidRDefault="00017D83" w:rsidP="00017D83">
      <w:pPr>
        <w:pStyle w:val="p2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 проекте строительства жилого многоквартирного дома по адресу</w:t>
      </w:r>
      <w:r>
        <w:rPr>
          <w:rStyle w:val="s2"/>
          <w:rFonts w:ascii="PT Sans Caption" w:hAnsi="PT Sans Caption"/>
          <w:color w:val="888888"/>
          <w:sz w:val="21"/>
          <w:szCs w:val="21"/>
        </w:rPr>
        <w:t>: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Fonts w:ascii="PT Sans Caption" w:hAnsi="PT Sans Caption"/>
          <w:color w:val="888888"/>
          <w:sz w:val="21"/>
          <w:szCs w:val="21"/>
        </w:rPr>
        <w:t>Ленинградская область, город Гатчина, улица Чкалова</w:t>
      </w:r>
      <w:r>
        <w:rPr>
          <w:rStyle w:val="s2"/>
          <w:rFonts w:ascii="PT Sans Caption" w:hAnsi="PT Sans Caption"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Fonts w:ascii="PT Sans Caption" w:hAnsi="PT Sans Caption"/>
          <w:color w:val="888888"/>
          <w:sz w:val="21"/>
          <w:szCs w:val="21"/>
        </w:rPr>
        <w:t>дом 28</w:t>
      </w:r>
      <w:r>
        <w:rPr>
          <w:rStyle w:val="s2"/>
          <w:rFonts w:ascii="PT Sans Caption" w:hAnsi="PT Sans Caption"/>
          <w:color w:val="888888"/>
          <w:sz w:val="21"/>
          <w:szCs w:val="21"/>
        </w:rPr>
        <w:t>.</w:t>
      </w:r>
    </w:p>
    <w:p w:rsidR="00017D83" w:rsidRDefault="00017D83" w:rsidP="00017D83">
      <w:pPr>
        <w:pStyle w:val="p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>Информация о застройщике</w:t>
      </w:r>
      <w:r>
        <w:rPr>
          <w:rStyle w:val="s3"/>
          <w:rFonts w:ascii="PT Sans Caption" w:hAnsi="PT Sans Caption"/>
          <w:b/>
          <w:b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Наименование застройщика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  <w:bookmarkStart w:id="0" w:name="_GoBack"/>
      <w:bookmarkEnd w:id="0"/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Общество с ограниченной ответственностью «ТЭК-строй».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Юридический адрес застройщика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188300, Ленинградская обл.,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.Г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ул.Карла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Маркса, д.47А, офис №1.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Почтовый адрес застройщика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188300, Ленинградская обл.,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.Г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ул.Карла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Маркса, д.47А, офис №1.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Режим работы застройщика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С 10.00 до 17.00 по будним дням, суббота, воскресенье – выходной.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2.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Государственная регистрация застройщика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Общество с ограниченной ответственностью «ТЭК-строй» зарегистрировано Инспекцией Министерства Российской Федерации по налогам и сборам по городу Гатчине Ленинградской области от «12» мая 2004г. (свидетельство серия 47 № 000233725) за основным государственным регистрационным номером 1044701242728,</w:t>
      </w:r>
      <w:r>
        <w:rPr>
          <w:rStyle w:val="apple-converted-space"/>
          <w:rFonts w:ascii="PT Sans Caption" w:hAnsi="PT Sans Caption"/>
          <w:color w:val="888888"/>
          <w:sz w:val="21"/>
          <w:szCs w:val="21"/>
        </w:rPr>
        <w:t> </w:t>
      </w:r>
      <w:r>
        <w:rPr>
          <w:rStyle w:val="s7"/>
          <w:rFonts w:ascii="PT Sans Caption" w:hAnsi="PT Sans Caption"/>
          <w:color w:val="888888"/>
          <w:sz w:val="21"/>
          <w:szCs w:val="21"/>
        </w:rPr>
        <w:t>ИНН 4705026213.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4.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Учредители (участники) застройщика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Турецкий Михаил Григорьевич – 100% голосов.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5.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Проекты строительства многоквартирных домов и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/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или иных объектов недвижимости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в которых принимал участие застройщик 2011-2015гг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— малоэтажный жилой комплекс «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Приоратское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предместье»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.Г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д.40, д.40а, д.40б. ООО «ТЭК-строй» выполнял функции заказчика и генподрядчика. Введен в эксплуатацию – июнь 2011г.;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9-ти квартирный жилой дом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.Г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д.34. ООО «ТЭК-строй» заказчик и генподрядчик. Введен в эксплуатацию – июль 2012г.;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22-квартирный жилой дом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.Г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ул.Чкалова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д.25б. ООО «ТЭК-строй» заказчик и генподрядчик. Введен в эксплуатацию – март 2013г.;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lastRenderedPageBreak/>
        <w:t xml:space="preserve">— 2-этажное здание общественного назначения со встроенными помещениями отделения Сбербанка по адресу: Ленинградская обл., Гатчинский р-н,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.К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оммунар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ул.Пионерская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д.2. ООО «ТЭК-строй» заказчик и генподрядчик. Введен в эксплуатацию – март 2014г.;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ведется строительство жилого дома со встроенными помещениями и подземным паркингом по адресу: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г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.Г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атчина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,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ул.Урицкого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д.31. ООО «ТЭК-строй» заказчик и генподрядчик.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6.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Вид лицензируемой деятельности застройщика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номер лицензии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срок ее действия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орган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выдавший лицензию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№1706.03-2012-4705026213 от «07» июня 2012 года. Выдано саморегулируемой организацией, основанной на членстве лиц, осуществляющих строительство НЕКОММЕРЧЕСКИМ ПАРТНЕРСТВОМ «Балтийский строительный комплекс». Свидетельство действительно без ограничения срока и территории действия.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7.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8"/>
          <w:rFonts w:ascii="PT Sans Caption" w:hAnsi="PT Sans Caption"/>
          <w:i/>
          <w:iCs/>
          <w:color w:val="888888"/>
          <w:sz w:val="21"/>
          <w:szCs w:val="21"/>
        </w:rPr>
        <w:t>Ф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инансовый результат текущего года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размер кредиторской задолженности на день опубликования проектной декларации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финансовый результат – -65 000 рублей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размер кредиторской задолженности – 27 191 000 рублей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размер дебиторской задолженности – 30 208 000 рублей</w:t>
      </w:r>
    </w:p>
    <w:p w:rsidR="00017D83" w:rsidRDefault="00017D83" w:rsidP="00017D83">
      <w:pPr>
        <w:pStyle w:val="p3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1"/>
          <w:rFonts w:ascii="PT Sans Caption" w:hAnsi="PT Sans Caption"/>
          <w:b/>
          <w:bCs/>
          <w:color w:val="888888"/>
          <w:sz w:val="21"/>
          <w:szCs w:val="21"/>
        </w:rPr>
        <w:t>Информация о проекте строительства</w:t>
      </w:r>
      <w:r>
        <w:rPr>
          <w:rStyle w:val="s3"/>
          <w:rFonts w:ascii="PT Sans Caption" w:hAnsi="PT Sans Caption"/>
          <w:b/>
          <w:b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1.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Цель проекта строительства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Проектирование и строительство малоэтажного жилого многоквартирного дома по адресу: Ленинградская область, город Гатчина, улица Чкалова, дом 28. Проектирование и строительство ведется за счет собственных и привлеченных средств.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Условное наименование жилого дома в рекламных целях: Жилой дом «АМСТЕРДАМ»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Результат проведения экспертизы проектной документации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Экспертиза не требуется в соответствии с ГК РФ.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Этапы и сроки реализации проекта строительства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Начало строительства объекта – июнь 2015 года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Окончание строительства объекта – III квартал 2016 года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lastRenderedPageBreak/>
        <w:t>2.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Разрешение на строительство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Разрешение на строительство № 47-506102-5-2015 от 02.06.2015 года, выдано Администрацией Гатчинского муниципального района Ленинградской области. Срок действия – до 30 декабря 2016 года.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3.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Права застройщика на земельный участок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Земельный участок, расположенный по адресу: Ленинградская область, город Гатчина, улица Чкалова, дом 28 (кадастровый номер земельного участка 47:25:0102013:55) принадлежит Застройщику на праве собственности. Право собственности зарегистрировано «17» июня 2014 года Управлением Федеральной службы государственной регистрации, кадастра и картографии по Ленинградской области, регистрационный номер собственности на земельный участок 47-47-16/007/2014-681, свидетельство серия 47-АВ № 392734.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Площадь земельного участка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2 874 (Две тысячи восемьсот семьдесят четыре) кв. м.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Границы земельного участка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Земельный участок ограничен: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севера–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.Ч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юга– территория земельного участка №28б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.Ч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— с восток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а–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 xml:space="preserve"> проезд к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Приоратскому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парку;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— с запада– территория земельного участка №30 по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ул</w:t>
      </w:r>
      <w:proofErr w:type="gramStart"/>
      <w:r>
        <w:rPr>
          <w:rFonts w:ascii="PT Sans Caption" w:hAnsi="PT Sans Caption"/>
          <w:color w:val="888888"/>
          <w:sz w:val="21"/>
          <w:szCs w:val="21"/>
        </w:rPr>
        <w:t>.Ч</w:t>
      </w:r>
      <w:proofErr w:type="gramEnd"/>
      <w:r>
        <w:rPr>
          <w:rFonts w:ascii="PT Sans Caption" w:hAnsi="PT Sans Caption"/>
          <w:color w:val="888888"/>
          <w:sz w:val="21"/>
          <w:szCs w:val="21"/>
        </w:rPr>
        <w:t>калова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Элементы благоустройства</w:t>
      </w:r>
      <w:r>
        <w:rPr>
          <w:rStyle w:val="s6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Комплексное благоустройство и озеленение придомовой территории, а также устройство подъездных дорог, площадки для автомобильной парковки.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4.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Местоположение строящегося жилого дома и его описание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Жилой дом строится по адресу: Ленинградская область, город Гатчина, улица Чкалова, дом 28. Проект предусматривает строительство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двухподъездного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трехэтажного жилого комплекса с возможностью гибкой внутренней планировки квартир. Часть квартир имеют балконы и лоджии.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lastRenderedPageBreak/>
        <w:t xml:space="preserve">Наружные и внутренние стены – эффективный кирпич с утеплителем, фундамент — сборный железобетон, перекрытия – сборный железобетон, кровля – скатная из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металочерепицы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, наружная отделка стен – декоративная штукатурка.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5. Количество в составе строящегося жилого дома самостоятельных частей (</w:t>
      </w:r>
      <w:proofErr w:type="spell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квартир</w:t>
      </w:r>
      <w:proofErr w:type="gramStart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,г</w:t>
      </w:r>
      <w:proofErr w:type="gram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аражей</w:t>
      </w:r>
      <w:proofErr w:type="spellEnd"/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 xml:space="preserve"> и иных объектов недвижимости), подлежащих передаче участникам долевого строительства после получения разрешения на ввод в эксплуатацию и описание технический характеристик указанных самостоятельных частей: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Общая площадь строящегося жилого дома 2340,5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кв.м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Всего 25 квартир, общей площадью 1996,12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кв.м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. (с учетом балконов и лоджий), из них: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Однокомнатных — 1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Двухкомнатных – 10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Трехкомнатных – 12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Четырехкомнатных – 2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6. Функциональное назначение нежилых помещений в жилом доме, не входящих в состав общего имущества жилого дома: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Не запроектировано.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7. Состав общего имущества жилого дома, которое,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объектов долевого строительства участникам долевого строительства: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 xml:space="preserve">Лестницы; лестничные площадки;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внеквартирные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коридоры; механическое, электрическое санитарно-техническое и иное оборудование, находящееся в доме за пределами или внутри помещений и обслуживающее более одного помещения; крыши; ограждающие конструкции дома; земельный участок, помещения 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электорощитовой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 xml:space="preserve"> и водомерного узла.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8. Предполагаемый срок получения разрешения на ввод в эксплуатацию строящегося жилого дома: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III квартал 2016 года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9. Перечень органов государственной власти, органов местного самоуправления и организаций, представители которых участвуют в приемке жилого дома: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— Администрация Гатчинского муниципального района Ленинградской области;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lastRenderedPageBreak/>
        <w:t>— ООО «ТЭК-строй» — заказчик, генеральный подрядчик;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— ООО Фирма «ПРОКС» — проектная организация.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10.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Возможные финансовые и прочие риски при осуществлении проекта строительства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части для данного проекта риски носят маловероятный характер.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10.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 планируемой стоимости строительства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151 560 000 рублей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11.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Перечень организаций осуществляющих основные строительно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—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монтажные и другие работы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Проектная организация — ООО Фирма «ПРОКС»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Заказчик, генеральный подрядчик — ООО «ТЭК-строй»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ООО «Сантехкомплект плюс», ООО «ПМК-142», ООО «НЭСТ», ООО «</w:t>
      </w:r>
      <w:proofErr w:type="spellStart"/>
      <w:r>
        <w:rPr>
          <w:rFonts w:ascii="PT Sans Caption" w:hAnsi="PT Sans Caption"/>
          <w:color w:val="888888"/>
          <w:sz w:val="21"/>
          <w:szCs w:val="21"/>
        </w:rPr>
        <w:t>Свитязь</w:t>
      </w:r>
      <w:proofErr w:type="spellEnd"/>
      <w:r>
        <w:rPr>
          <w:rFonts w:ascii="PT Sans Caption" w:hAnsi="PT Sans Caption"/>
          <w:color w:val="888888"/>
          <w:sz w:val="21"/>
          <w:szCs w:val="21"/>
        </w:rPr>
        <w:t>»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a3"/>
          <w:rFonts w:ascii="PT Sans Caption" w:hAnsi="PT Sans Caption"/>
          <w:color w:val="888888"/>
          <w:sz w:val="21"/>
          <w:szCs w:val="21"/>
        </w:rPr>
        <w:t>12.</w:t>
      </w:r>
      <w:r>
        <w:rPr>
          <w:rStyle w:val="apple-converted-space"/>
          <w:rFonts w:ascii="PT Sans Caption" w:hAnsi="PT Sans Caption"/>
          <w:i/>
          <w:iCs/>
          <w:color w:val="888888"/>
          <w:sz w:val="21"/>
          <w:szCs w:val="21"/>
        </w:rPr>
        <w:t> </w:t>
      </w:r>
      <w:r>
        <w:rPr>
          <w:rStyle w:val="s4"/>
          <w:rFonts w:ascii="PT Sans Caption" w:hAnsi="PT Sans Caption"/>
          <w:i/>
          <w:iCs/>
          <w:color w:val="888888"/>
          <w:sz w:val="21"/>
          <w:szCs w:val="21"/>
        </w:rPr>
        <w:t>О способе обеспечения исполнения обязательств застройщика по договору</w:t>
      </w: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Залог в порядке, предусмотренном Федеральным законом № 214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017D83" w:rsidRDefault="00017D83" w:rsidP="00017D83">
      <w:pPr>
        <w:pStyle w:val="p5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Style w:val="s5"/>
          <w:rFonts w:ascii="PT Sans Caption" w:hAnsi="PT Sans Caption"/>
          <w:i/>
          <w:iCs/>
          <w:color w:val="888888"/>
          <w:sz w:val="21"/>
          <w:szCs w:val="21"/>
        </w:rPr>
        <w:t>13. Иные договоры и сделки, на основании которых привлекаются денежные средства для строительства дома, за исключением привлечения денежных средств на основании договоров: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Целевых кредитов для строительства данного объекта не привлекалось.</w:t>
      </w:r>
    </w:p>
    <w:p w:rsidR="00017D83" w:rsidRDefault="00017D83" w:rsidP="00017D83">
      <w:pPr>
        <w:pStyle w:val="p4"/>
        <w:shd w:val="clear" w:color="auto" w:fill="FFFFFF"/>
        <w:spacing w:before="0" w:beforeAutospacing="0" w:after="150" w:afterAutospacing="0" w:line="420" w:lineRule="atLeast"/>
        <w:rPr>
          <w:rFonts w:ascii="PT Sans Caption" w:hAnsi="PT Sans Caption"/>
          <w:color w:val="888888"/>
          <w:sz w:val="21"/>
          <w:szCs w:val="21"/>
        </w:rPr>
      </w:pPr>
      <w:r>
        <w:rPr>
          <w:rFonts w:ascii="PT Sans Caption" w:hAnsi="PT Sans Caption"/>
          <w:color w:val="888888"/>
          <w:sz w:val="21"/>
          <w:szCs w:val="21"/>
        </w:rPr>
        <w:t>Генеральный директор Турецкий М.Г.</w:t>
      </w:r>
    </w:p>
    <w:p w:rsidR="00CE0F5C" w:rsidRDefault="00017D83"/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3"/>
    <w:rsid w:val="00017D83"/>
    <w:rsid w:val="002B2CC4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7D83"/>
  </w:style>
  <w:style w:type="character" w:customStyle="1" w:styleId="apple-converted-space">
    <w:name w:val="apple-converted-space"/>
    <w:basedOn w:val="a0"/>
    <w:rsid w:val="00017D83"/>
  </w:style>
  <w:style w:type="paragraph" w:customStyle="1" w:styleId="p3">
    <w:name w:val="p3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7D83"/>
  </w:style>
  <w:style w:type="character" w:customStyle="1" w:styleId="s3">
    <w:name w:val="s3"/>
    <w:basedOn w:val="a0"/>
    <w:rsid w:val="00017D83"/>
  </w:style>
  <w:style w:type="paragraph" w:customStyle="1" w:styleId="p4">
    <w:name w:val="p4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17D83"/>
    <w:rPr>
      <w:i/>
      <w:iCs/>
    </w:rPr>
  </w:style>
  <w:style w:type="character" w:customStyle="1" w:styleId="s4">
    <w:name w:val="s4"/>
    <w:basedOn w:val="a0"/>
    <w:rsid w:val="00017D83"/>
  </w:style>
  <w:style w:type="character" w:customStyle="1" w:styleId="s5">
    <w:name w:val="s5"/>
    <w:basedOn w:val="a0"/>
    <w:rsid w:val="00017D83"/>
  </w:style>
  <w:style w:type="paragraph" w:customStyle="1" w:styleId="p5">
    <w:name w:val="p5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17D83"/>
  </w:style>
  <w:style w:type="character" w:customStyle="1" w:styleId="s7">
    <w:name w:val="s7"/>
    <w:basedOn w:val="a0"/>
    <w:rsid w:val="00017D83"/>
  </w:style>
  <w:style w:type="character" w:customStyle="1" w:styleId="s8">
    <w:name w:val="s8"/>
    <w:basedOn w:val="a0"/>
    <w:rsid w:val="00017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7D83"/>
  </w:style>
  <w:style w:type="character" w:customStyle="1" w:styleId="apple-converted-space">
    <w:name w:val="apple-converted-space"/>
    <w:basedOn w:val="a0"/>
    <w:rsid w:val="00017D83"/>
  </w:style>
  <w:style w:type="paragraph" w:customStyle="1" w:styleId="p3">
    <w:name w:val="p3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7D83"/>
  </w:style>
  <w:style w:type="character" w:customStyle="1" w:styleId="s3">
    <w:name w:val="s3"/>
    <w:basedOn w:val="a0"/>
    <w:rsid w:val="00017D83"/>
  </w:style>
  <w:style w:type="paragraph" w:customStyle="1" w:styleId="p4">
    <w:name w:val="p4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17D83"/>
    <w:rPr>
      <w:i/>
      <w:iCs/>
    </w:rPr>
  </w:style>
  <w:style w:type="character" w:customStyle="1" w:styleId="s4">
    <w:name w:val="s4"/>
    <w:basedOn w:val="a0"/>
    <w:rsid w:val="00017D83"/>
  </w:style>
  <w:style w:type="character" w:customStyle="1" w:styleId="s5">
    <w:name w:val="s5"/>
    <w:basedOn w:val="a0"/>
    <w:rsid w:val="00017D83"/>
  </w:style>
  <w:style w:type="paragraph" w:customStyle="1" w:styleId="p5">
    <w:name w:val="p5"/>
    <w:basedOn w:val="a"/>
    <w:rsid w:val="000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17D83"/>
  </w:style>
  <w:style w:type="character" w:customStyle="1" w:styleId="s7">
    <w:name w:val="s7"/>
    <w:basedOn w:val="a0"/>
    <w:rsid w:val="00017D83"/>
  </w:style>
  <w:style w:type="character" w:customStyle="1" w:styleId="s8">
    <w:name w:val="s8"/>
    <w:basedOn w:val="a0"/>
    <w:rsid w:val="0001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1</cp:revision>
  <dcterms:created xsi:type="dcterms:W3CDTF">2016-07-05T12:38:00Z</dcterms:created>
  <dcterms:modified xsi:type="dcterms:W3CDTF">2016-07-05T12:40:00Z</dcterms:modified>
</cp:coreProperties>
</file>